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June 2,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Delaware</w:t>
            </w:r>
          </w:p>
        </w:tc>
        <w:tc>
          <w:tcPr>
            <w:tcW w:w="29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001-36728</w:t>
            </w:r>
          </w:p>
        </w:tc>
        <w:tc>
          <w:tcPr>
            <w:tcW w:w="386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56-2590442</w:t>
            </w:r>
          </w:p>
        </w:tc>
      </w:tr>
      <w:tr>
        <w:trPr>
          <w:trHeight w:val="234"/>
        </w:trPr>
        <w:tc>
          <w:tcPr>
            <w:tcW w:w="44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46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29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07446</w:t>
            </w:r>
          </w:p>
        </w:tc>
      </w:tr>
      <w:tr>
        <w:trPr>
          <w:trHeight w:val="234"/>
        </w:trPr>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20" w:type="dxa"/>
            <w:vAlign w:val="bottom"/>
          </w:tcPr>
          <w:p>
            <w:pPr>
              <w:spacing w:after="0"/>
              <w:rPr>
                <w:sz w:val="20"/>
                <w:szCs w:val="20"/>
                <w:color w:val="auto"/>
              </w:rPr>
            </w:pPr>
          </w:p>
        </w:tc>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(201) 478-5552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ADMA</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ADMA Biologics, Inc. (the “Company”) held its 2026 Annual Meeting of Stockholders (the “Annual Meeting”) on June 2, 2026. At the Annual Meeting, the following matters were submitted to a vote of stockholders:</w:t>
      </w:r>
    </w:p>
    <w:p>
      <w:pPr>
        <w:spacing w:after="0" w:line="16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nominees to serve as Class I directors until the Company’s 2029 Annual Meeting of Stockholders and until such director’s successor is duly elected and qualified, or such director’s earlier resignation, removal or death;</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Company’s independent registered public accounting firm for the fiscal year ending December 31, 2026;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on a non-binding, advisory basis, the compensation of the Company’s named executive officers (“Say-on-Pay”).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business on April 8, 2026, the record date for the determination of stockholders entitled to vote at the Annual Meeting, there were 232,324,283 shares of the Company’s common stock outstanding and entitled to vote at the Annual Meeting. The holders of 199,267,547 shares of the Company’s common stock, $0.0001 par value per share, were represented virtually or by proxy at the Annual Meeting, constituting a quorum.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(i) the two Class I directors were elected, (ii) the appointment of the Company’s independent registered public accounting firm for the fiscal year ending December 31, 2026 was ratified, and (iii) the Say-on-Pay proposal was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Election of the Class I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with respect to the election of each of the directors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Alison C. Finger</w:t>
            </w:r>
          </w:p>
        </w:tc>
        <w:tc>
          <w:tcPr>
            <w:tcW w:w="1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156,849,830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19,376,842</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23,040,875</w:t>
            </w: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Eduardo Rene Salas</w:t>
            </w:r>
          </w:p>
        </w:tc>
        <w:tc>
          <w:tcPr>
            <w:tcW w:w="2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171,947,523</w:t>
            </w:r>
          </w:p>
        </w:tc>
        <w:tc>
          <w:tcPr>
            <w:tcW w:w="100" w:type="dxa"/>
            <w:vAlign w:val="bottom"/>
          </w:tcPr>
          <w:p>
            <w:pPr>
              <w:spacing w:after="0"/>
              <w:rPr>
                <w:sz w:val="17"/>
                <w:szCs w:val="17"/>
                <w:color w:val="auto"/>
              </w:rPr>
            </w:pPr>
          </w:p>
        </w:tc>
        <w:tc>
          <w:tcPr>
            <w:tcW w:w="2680" w:type="dxa"/>
            <w:vAlign w:val="bottom"/>
          </w:tcPr>
          <w:p>
            <w:pPr>
              <w:jc w:val="right"/>
              <w:ind w:right="890"/>
              <w:spacing w:after="0" w:line="198" w:lineRule="exact"/>
              <w:rPr>
                <w:sz w:val="20"/>
                <w:szCs w:val="20"/>
                <w:color w:val="auto"/>
              </w:rPr>
            </w:pPr>
            <w:r>
              <w:rPr>
                <w:rFonts w:ascii="Times New Roman" w:cs="Times New Roman" w:eastAsia="Times New Roman" w:hAnsi="Times New Roman"/>
                <w:sz w:val="18"/>
                <w:szCs w:val="18"/>
                <w:color w:val="auto"/>
              </w:rPr>
              <w:t>4,279,149</w:t>
            </w:r>
          </w:p>
        </w:tc>
        <w:tc>
          <w:tcPr>
            <w:tcW w:w="120" w:type="dxa"/>
            <w:vAlign w:val="bottom"/>
          </w:tcPr>
          <w:p>
            <w:pPr>
              <w:spacing w:after="0"/>
              <w:rPr>
                <w:sz w:val="17"/>
                <w:szCs w:val="17"/>
                <w:color w:val="auto"/>
              </w:rPr>
            </w:pPr>
          </w:p>
        </w:tc>
        <w:tc>
          <w:tcPr>
            <w:tcW w:w="2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23,040,875</w:t>
            </w:r>
          </w:p>
        </w:tc>
      </w:tr>
      <w:tr>
        <w:trPr>
          <w:trHeight w:val="234"/>
        </w:trPr>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Ratification of the Appointment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vote with respect to the ratification of the appointment of KPMG LLP as the Company’s independent registered public accounting firm for the fiscal year ending December 31, 2026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20" w:type="dxa"/>
            <w:vAlign w:val="bottom"/>
          </w:tcPr>
          <w:p>
            <w:pPr>
              <w:spacing w:after="0"/>
              <w:rPr>
                <w:sz w:val="23"/>
                <w:szCs w:val="23"/>
                <w:color w:val="auto"/>
              </w:rPr>
            </w:pPr>
          </w:p>
        </w:tc>
        <w:tc>
          <w:tcPr>
            <w:tcW w:w="358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191"/>
        </w:trPr>
        <w:tc>
          <w:tcPr>
            <w:tcW w:w="3720" w:type="dxa"/>
            <w:vAlign w:val="bottom"/>
            <w:tcBorders>
              <w:top w:val="single" w:sz="8" w:color="auto"/>
            </w:tcBorders>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198,655,040</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ind w:right="790"/>
              <w:spacing w:after="0" w:line="191" w:lineRule="exact"/>
              <w:rPr>
                <w:sz w:val="20"/>
                <w:szCs w:val="20"/>
                <w:color w:val="auto"/>
              </w:rPr>
            </w:pPr>
            <w:r>
              <w:rPr>
                <w:rFonts w:ascii="Times New Roman" w:cs="Times New Roman" w:eastAsia="Times New Roman" w:hAnsi="Times New Roman"/>
                <w:sz w:val="18"/>
                <w:szCs w:val="18"/>
                <w:color w:val="auto"/>
                <w:w w:val="99"/>
              </w:rPr>
              <w:t>329,056</w:t>
            </w:r>
          </w:p>
        </w:tc>
        <w:tc>
          <w:tcPr>
            <w:tcW w:w="10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283,451</w:t>
            </w:r>
          </w:p>
        </w:tc>
      </w:tr>
      <w:tr>
        <w:trPr>
          <w:trHeight w:val="234"/>
        </w:trPr>
        <w:tc>
          <w:tcPr>
            <w:tcW w:w="1120" w:type="dxa"/>
            <w:vAlign w:val="bottom"/>
            <w:shd w:val="clear" w:color="auto" w:fill="CCEEFF"/>
          </w:tcPr>
          <w:p>
            <w:pPr>
              <w:spacing w:after="0"/>
              <w:rPr>
                <w:sz w:val="20"/>
                <w:szCs w:val="20"/>
                <w:color w:val="auto"/>
              </w:rPr>
            </w:pPr>
          </w:p>
        </w:tc>
        <w:tc>
          <w:tcPr>
            <w:tcW w:w="3580" w:type="dxa"/>
            <w:vAlign w:val="bottom"/>
            <w:gridSpan w:val="3"/>
            <w:shd w:val="clear" w:color="auto" w:fill="CCEEFF"/>
          </w:tcPr>
          <w:p>
            <w:pPr>
              <w:jc w:val="center"/>
              <w:ind w:right="2100"/>
              <w:spacing w:after="0"/>
              <w:rPr>
                <w:sz w:val="20"/>
                <w:szCs w:val="20"/>
                <w:color w:val="auto"/>
              </w:rPr>
            </w:pPr>
            <w:r>
              <w:rPr>
                <w:rFonts w:ascii="Times New Roman" w:cs="Times New Roman" w:eastAsia="Times New Roman" w:hAnsi="Times New Roman"/>
                <w:sz w:val="18"/>
                <w:szCs w:val="18"/>
                <w:color w:val="auto"/>
                <w:w w:val="99"/>
              </w:rPr>
              <w:t>Shares</w:t>
            </w:r>
          </w:p>
        </w:tc>
        <w:tc>
          <w:tcPr>
            <w:tcW w:w="280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Shares</w:t>
            </w:r>
          </w:p>
        </w:tc>
        <w:tc>
          <w:tcPr>
            <w:tcW w:w="3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r>
      <w:tr>
        <w:trPr>
          <w:trHeight w:val="392"/>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 Approval of the Say-on-Pay Proposal</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with respect to the approval of, on a non-binding, advisory basis, the compensation of the Company’s named executive officers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1"/>
        </w:trPr>
        <w:tc>
          <w:tcPr>
            <w:tcW w:w="2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168,169,866</w:t>
            </w:r>
          </w:p>
        </w:tc>
        <w:tc>
          <w:tcPr>
            <w:tcW w:w="10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7,730,690</w:t>
            </w:r>
          </w:p>
        </w:tc>
        <w:tc>
          <w:tcPr>
            <w:tcW w:w="10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326,116</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23,040,875</w:t>
            </w:r>
          </w:p>
        </w:tc>
      </w:tr>
      <w:tr>
        <w:trPr>
          <w:trHeight w:val="234"/>
        </w:trPr>
        <w:tc>
          <w:tcPr>
            <w:tcW w:w="2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r>
      <w:tr>
        <w:trPr>
          <w:trHeight w:val="398"/>
        </w:trPr>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7"/>
          <w:szCs w:val="17"/>
          <w:b w:val="1"/>
          <w:bCs w:val="1"/>
          <w:color w:val="auto"/>
        </w:rPr>
        <w:t>ADMA Biologics,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2026-06-02T15:11:31Z</dcterms:created>
  <dcterms:modified xsi:type="dcterms:W3CDTF">2026-06-02T15:11:31Z</dcterms:modified>
</cp:coreProperties>
</file>